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 et analyse de pratiques : élèves à besoins spécifiques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PET3007-SKAB_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 et analyse de pratiques : élèves à besoins spécifiques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APET3007-A3SPE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