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professionnelles: gérer l'hétérogéneité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PET3006-SKBB_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professionnelles: gérer l'hétérogénéité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APET3006-C3HET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41190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